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Göteborg kommunfullmäktige</w:t>
      </w:r>
    </w:p>
    <w:p>
      <w:pPr>
        <w:pStyle w:val="Heading1"/>
      </w:pPr>
      <w:r>
        <w:t xml:space="preserve">Tryggare skola för HBTQI-elever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Göteborg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Enkäter från RFSL visar att 40 procent av HBTQI-elever i Göteborg upplever diskriminering. Skolan behöver tydligare antidiskrimineringsarbete.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Göteborg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HBTQI-kompetensutbildning för all skolpersonal.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kommunal stödfunktion för utsatta 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inkludera HBTQI-perspektiv i alla läroplaner lokalt.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med årliga elevenkäter.</w:t>
      </w:r>
    </w:p>
    <w:p>
      <w:pPr>
        <w:spacing w:before="360"/>
      </w:pPr>
    </w:p>
    <w:p>
      <w:r>
        <w:t xml:space="preserve">Göteborg,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Göteborg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2026-07-14T03:11:50.212Z</dcterms:created>
  <dcterms:modified xsi:type="dcterms:W3CDTF">2026-07-14T03:11:50.212Z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